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In order to help identify local need and influence policy makers through local intelligence, CAVA collects bi-annual State of the Sector survey information and promotes local consultations.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before="360" w:lineRule="auto"/>
        <w:rPr>
          <w:color w:val="444444"/>
          <w:sz w:val="24"/>
          <w:szCs w:val="24"/>
        </w:rPr>
      </w:pPr>
      <w:r w:rsidDel="00000000" w:rsidR="00000000" w:rsidRPr="00000000">
        <w:rPr>
          <w:color w:val="444444"/>
          <w:sz w:val="24"/>
          <w:szCs w:val="24"/>
          <w:rtl w:val="0"/>
        </w:rPr>
        <w:t xml:space="preserve">Copies of the reports can be found below: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