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In order to help identify local need and influence policy makers through local intelligence, CAVA collects bi-annual State of the Sector survey information and promotes local consultations.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before="360" w:lineRule="auto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Copies of the reports can be found below: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